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RESOLUÇÃO Nº </w:t>
      </w:r>
      <w:r>
        <w:rPr>
          <w:rFonts w:eastAsia="Calibri" w:cs="Arial"/>
          <w:b/>
          <w:bCs/>
          <w:sz w:val="24"/>
          <w:szCs w:val="24"/>
        </w:rPr>
        <w:t>02</w:t>
      </w:r>
      <w:r>
        <w:rPr>
          <w:rFonts w:eastAsia="Calibri" w:cs="Arial"/>
          <w:b/>
          <w:bCs/>
          <w:color w:val="000000" w:themeColor="text1"/>
          <w:sz w:val="24"/>
          <w:szCs w:val="24"/>
        </w:rPr>
        <w:t>/CONPRESP/2023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Cs/>
          <w:color w:val="000000" w:themeColor="text1"/>
          <w:sz w:val="24"/>
          <w:szCs w:val="24"/>
        </w:rPr>
        <w:t xml:space="preserve">O Conselho Municipal de Preservação do Patrimônio Histórico, Cultural e Ambiental da Cidade de São Paulo – CONPRESP, no uso de suas atribuições legais e nos termos da Lei n° 10.032, de 27 de </w:t>
      </w:r>
      <w:r>
        <w:rPr>
          <w:rFonts w:eastAsia="Calibri" w:cs="Arial"/>
          <w:bCs/>
          <w:sz w:val="24"/>
          <w:szCs w:val="24"/>
        </w:rPr>
        <w:t xml:space="preserve">dezembro de 1985, com as alterações posteriores, conforme decisão dos Conselheiros presentes à </w:t>
      </w:r>
      <w:r>
        <w:rPr>
          <w:rFonts w:eastAsia="Calibri" w:cs="Arial"/>
          <w:b/>
          <w:bCs/>
          <w:sz w:val="24"/>
          <w:szCs w:val="24"/>
        </w:rPr>
        <w:t>769ª Reunião Ordinária</w:t>
      </w:r>
      <w:r>
        <w:rPr>
          <w:rFonts w:eastAsia="Calibri" w:cs="Arial"/>
          <w:bCs/>
          <w:sz w:val="24"/>
          <w:szCs w:val="24"/>
        </w:rPr>
        <w:t xml:space="preserve"> realizada em</w:t>
      </w:r>
      <w:r>
        <w:rPr>
          <w:rFonts w:eastAsia="Calibri" w:cs="Arial"/>
          <w:b/>
          <w:bCs/>
          <w:sz w:val="24"/>
          <w:szCs w:val="24"/>
        </w:rPr>
        <w:t xml:space="preserve"> 16 de janeiro de 2023</w:t>
      </w:r>
      <w:r>
        <w:rPr>
          <w:rFonts w:eastAsia="Calibri" w:cs="Arial"/>
          <w:bCs/>
          <w:sz w:val="24"/>
          <w:szCs w:val="24"/>
        </w:rPr>
        <w:t>, e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b/>
          <w:b/>
          <w:bCs/>
          <w:color w:val="000000" w:themeColor="text1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>a riqueza artística contida no conjunto de túmulos do Cemitério São Paulo, alguns dos quais concebidos e executados por artífices relevantes na cidade e no país ao longo do século XX, bem como por fundições e marmorarias de destaque no período;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 xml:space="preserve">os túmulos onde estão sepultadas famílias e pessoas amplamente conhecidas e visitadas, dentre as quais figuras de relevo nas artes, na política, na indústria, no esporte, na cultura, entre outros; 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>a relevância do Cemitério São Paulo como referência espacial na cidade e, em especial, no bairro de Pinheiros;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 xml:space="preserve">a relação entre o Cemitério e as transformações da cidade na primeira metade do século XX, com a expansão da área urbanizada, o aumento populacional e o esgotamento da capacidade dos outros cemitérios das regiões central e oeste; 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>a expressividade dos elementos arquitetônicos que compõem o conjunto do Cemitério;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>a pertinência de salvaguardar e valorizar esse conjunto, na sua integralidade, como referência memorial, histórica, urbanística e paisagística;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>o contido nos processos 2016-</w:t>
      </w:r>
      <w:bookmarkStart w:id="0" w:name="_GoBack"/>
      <w:bookmarkEnd w:id="0"/>
      <w:r>
        <w:rPr>
          <w:rFonts w:eastAsia="Calibri" w:cs="Arial"/>
          <w:color w:val="000000" w:themeColor="text1"/>
          <w:sz w:val="24"/>
          <w:szCs w:val="24"/>
        </w:rPr>
        <w:t xml:space="preserve">0.266.087-1 (pedido de tombamento de um conjunto de túmulos no Cemitério São Paulo), 6025.2022/0010354-9 (pedido de tombamento do túmulo da Família Rossa no Cemitério São Paulo) e 6025.2022/0029468-9 (proposta de tombamento do Conjunto do Cemitério São Paulo); 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RESOLVE</w:t>
      </w:r>
      <w:r>
        <w:rPr>
          <w:rFonts w:eastAsia="Calibri" w:cs="Arial"/>
          <w:color w:val="000000" w:themeColor="text1"/>
          <w:sz w:val="24"/>
          <w:szCs w:val="24"/>
        </w:rPr>
        <w:t>: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Artigo 1º </w:t>
      </w:r>
      <w:r>
        <w:rPr>
          <w:rFonts w:eastAsia="Calibri" w:cs="Arial"/>
          <w:color w:val="000000" w:themeColor="text1"/>
          <w:sz w:val="24"/>
          <w:szCs w:val="24"/>
        </w:rPr>
        <w:t xml:space="preserve">– </w:t>
      </w:r>
      <w:r>
        <w:rPr>
          <w:rFonts w:eastAsia="Calibri" w:cs="Arial"/>
          <w:b/>
          <w:bCs/>
          <w:color w:val="000000" w:themeColor="text1"/>
          <w:sz w:val="24"/>
          <w:szCs w:val="24"/>
        </w:rPr>
        <w:t>ABRIR PROCESSO DE TOMBAMENTO</w:t>
      </w:r>
      <w:r>
        <w:rPr>
          <w:rFonts w:eastAsia="Calibri" w:cs="Arial"/>
          <w:color w:val="000000" w:themeColor="text1"/>
          <w:sz w:val="24"/>
          <w:szCs w:val="24"/>
        </w:rPr>
        <w:t xml:space="preserve"> para o </w:t>
      </w:r>
      <w:r>
        <w:rPr>
          <w:rFonts w:eastAsia="Calibri" w:cs="Arial"/>
          <w:b/>
          <w:bCs/>
          <w:color w:val="000000" w:themeColor="text1"/>
          <w:sz w:val="24"/>
          <w:szCs w:val="24"/>
        </w:rPr>
        <w:t>conjunto do Cemitério São Paulo</w:t>
      </w:r>
      <w:r>
        <w:rPr>
          <w:rFonts w:eastAsia="Calibri" w:cs="Arial"/>
          <w:color w:val="000000" w:themeColor="text1"/>
          <w:sz w:val="24"/>
          <w:szCs w:val="24"/>
        </w:rPr>
        <w:t>, incluindo a área murada (rua Cardeal Arcoverde, 1250; SQL 081.210.0001-7); o edifício administrativo externo (rua Cardeal Arcoverde, 1217; SQL 013.059.0009-1) e o traçado viário do cruzamento das ruas Cardeal Arcoverde e Cônego Eugênio Leite (SQL 013.059.0001, lote tipo Espaço Livre; CODLOG 021490; CODLOG 067750).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2º</w:t>
      </w:r>
      <w:r>
        <w:rPr>
          <w:rFonts w:eastAsia="Calibri" w:cs="Arial"/>
          <w:color w:val="000000" w:themeColor="text1"/>
          <w:sz w:val="24"/>
          <w:szCs w:val="24"/>
        </w:rPr>
        <w:t xml:space="preserve"> – A presente abertura de processo de tombamento aplica-se aos seguintes elementos constitutivos do conjunto: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sz w:val="24"/>
          <w:szCs w:val="24"/>
        </w:rPr>
        <w:t>Muro de fecho do Cemitério, incluindo elementos decorativos dos ossuários voltados para o interior do lote;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sz w:val="24"/>
          <w:szCs w:val="24"/>
        </w:rPr>
        <w:t>Pórtico, portais e portões de entrada do Cemitério, incluindo gradis e demais elementos que os compõem, excetuados o portão em frente ao velório, na rua Luís Murat, e a porta de enrolar na rua Horácio Lane;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sz w:val="24"/>
          <w:szCs w:val="24"/>
        </w:rPr>
        <w:t>Edifícios internos ao perímetro do Cemitério: capela, antigo necrotério e edifício de vestiário, refeitório e depósito, estes dois últimos próximos à rua Horácio Lane;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Traçado das alamedas, quadras e ruas do Cemitério;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Arborização ornamental principal das vias internas;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Edifício da administração externo ao perímetro do Cemitério, na esquina das ruas Cardeal Arcoverde e Cônego Eugênio Leite;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Traçado viário do cruzamento das ruas Cardeal Arcoverde e Cônego Eugênio Leite, conforme mapa anexo;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14" w:hanging="357"/>
        <w:contextualSpacing w:val="false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Conjunto de túmulos especificado no</w:t>
      </w:r>
      <w:r>
        <w:rPr>
          <w:rFonts w:eastAsia="Calibri" w:cs="Arial"/>
          <w:b w:val="false"/>
          <w:bCs w:val="false"/>
          <w:color w:val="000000" w:themeColor="text1"/>
          <w:sz w:val="24"/>
          <w:szCs w:val="24"/>
        </w:rPr>
        <w:t xml:space="preserve"> Anexo 1.</w:t>
      </w:r>
    </w:p>
    <w:p>
      <w:pPr>
        <w:pStyle w:val="ListParagraph"/>
        <w:numPr>
          <w:ilvl w:val="0"/>
          <w:numId w:val="0"/>
        </w:numPr>
        <w:spacing w:lineRule="auto" w:line="276" w:before="0" w:after="160"/>
        <w:ind w:left="714" w:hanging="0"/>
        <w:contextualSpacing w:val="false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3º</w:t>
      </w:r>
      <w:r>
        <w:rPr>
          <w:rFonts w:eastAsia="Calibri" w:cs="Arial"/>
          <w:color w:val="000000" w:themeColor="text1"/>
          <w:sz w:val="24"/>
          <w:szCs w:val="24"/>
        </w:rPr>
        <w:t xml:space="preserve"> – Deverá ser previamente apresentada e objeto de análise e deliberação pelo DPH/CONPRESP: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Qualquer proposta de intervenção, inclusive de pequenos reparos, nos elementos arrolados nos itens 1, 2, </w:t>
      </w:r>
      <w:r>
        <w:rPr>
          <w:rFonts w:eastAsia="Calibri" w:cs="Arial"/>
          <w:sz w:val="24"/>
          <w:szCs w:val="24"/>
        </w:rPr>
        <w:t>3, 6 e 8 do Artigo 2º;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Qualquer proposta de modificação do traçado das alamedas, quadras e ruas internas ao Cemitério; 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Qualquer proposta de modificação do traçado viário (do leito carroçável e do passeio) no cruzamento das ruas Cardeal Arcoverde e Cônego Eugênio Leite;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Qualquer proposta de intervenção nos demais elementos do conjunto do Cemitério, não arrolados </w:t>
      </w:r>
      <w:r>
        <w:rPr>
          <w:rFonts w:eastAsia="Calibri" w:cs="Arial"/>
          <w:sz w:val="24"/>
          <w:szCs w:val="24"/>
        </w:rPr>
        <w:t xml:space="preserve">no Artigo 2º, referentes </w:t>
      </w:r>
      <w:r>
        <w:rPr>
          <w:rFonts w:eastAsia="Calibri" w:cs="Arial"/>
          <w:color w:val="000000" w:themeColor="text1"/>
          <w:sz w:val="24"/>
          <w:szCs w:val="24"/>
        </w:rPr>
        <w:t>à pintura externa, reforma, demolição ou construção de edifício ou estrutura, inclusive de caráter temporário, prevista para dentro dos lotes fiscais arrolados no Artigo 1º, a ser analisada com base na apreciação, caso a caso, de aspectos que possam vir a interferir na ambiência, visibilidade e harmonia dos elementos protegidos, tais como: implantação, gabarito, textura, cor e quaisquer outros que venham a ser identificados na análise da intervenção proposta;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Qualquer proposta de intervenção que alterar a volumetria externa ou o revestimento dos túmulos do Cemitério não especificados no Anexo 1, a ser analisada com base na apreciação, caso a caso, de aspectos que possam vir a interferir na ambiência, visibilidade e harmonia dos elementos protegidos.</w:t>
      </w:r>
    </w:p>
    <w:p>
      <w:pPr>
        <w:pStyle w:val="Normal"/>
        <w:spacing w:lineRule="auto" w:line="276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4º</w:t>
      </w:r>
      <w:r>
        <w:rPr>
          <w:rFonts w:eastAsia="Calibri" w:cs="Arial"/>
          <w:color w:val="000000" w:themeColor="text1"/>
          <w:sz w:val="24"/>
          <w:szCs w:val="24"/>
        </w:rPr>
        <w:t xml:space="preserve"> – Ficam dispensados de prévia análise e deliberação pelo DPH/CONPRESP: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Sepultamentos, remoções de despojos e outros procedimentos rotineiros atinentes à atividade do Cemitério, desde que não afetem a integridade dos túmulos especificados no Anexo 1;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 xml:space="preserve">Ações de limpeza e zeladoria rotineira nos itens 1, 2, 3 e 6 </w:t>
      </w:r>
      <w:r>
        <w:rPr>
          <w:rFonts w:eastAsia="Calibri" w:cs="Arial"/>
          <w:sz w:val="24"/>
          <w:szCs w:val="24"/>
        </w:rPr>
        <w:t>do Artigo 2º e nas demais áreas do Cemitério, desde que não alterem ou impactem as características dos elementos protegidos</w:t>
      </w:r>
      <w:r>
        <w:rPr>
          <w:rFonts w:eastAsia="Calibri" w:cs="Arial"/>
          <w:color w:val="000000" w:themeColor="text1"/>
          <w:sz w:val="24"/>
          <w:szCs w:val="24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Ações de limpeza mecânica rotineira no conjunto de túmulos especificado no Anexo 1, desde que realizadas de acordo com as diretrizes especificadas no Anexo 2;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left="714" w:hanging="357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Obras de manutenção, de conservação e de reforma que não alterem a volumetria externa ou o revestimento dos túmulos do Cemitério não especificados no Anexo 1.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Qualquer proposta de manejo de vegetação de porte arbóreo, desde que observado o estabelecido na Resolução 06/CONPRESP/2013.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5º</w:t>
      </w:r>
      <w:r>
        <w:rPr>
          <w:rFonts w:eastAsia="Calibri" w:cs="Arial"/>
          <w:color w:val="000000" w:themeColor="text1"/>
          <w:sz w:val="24"/>
          <w:szCs w:val="24"/>
        </w:rPr>
        <w:t xml:space="preserve"> – Esta resolução entrará em vigor na data de sua publicação no Diário Oficial da Cidade de São Paulo, revogadas as disposições em contrário.</w:t>
      </w:r>
    </w:p>
    <w:p>
      <w:pPr>
        <w:pStyle w:val="Normal"/>
        <w:spacing w:lineRule="auto" w:line="276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</w:r>
    </w:p>
    <w:p>
      <w:pPr>
        <w:pStyle w:val="Normal"/>
        <w:spacing w:lineRule="auto" w:line="276" w:before="0" w:after="160"/>
        <w:rPr>
          <w:rFonts w:ascii="Calibri" w:hAnsi="Calibri" w:eastAsia="Calibri" w:cs="Arial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2"/>
          <w:szCs w:val="22"/>
        </w:rPr>
        <w:t xml:space="preserve">DOC </w:t>
      </w:r>
      <w:r>
        <w:rPr>
          <w:rFonts w:eastAsia="Calibri" w:cs="Calibri"/>
          <w:color w:val="000000" w:themeColor="text1"/>
          <w:sz w:val="22"/>
          <w:szCs w:val="22"/>
        </w:rPr>
        <w:t>19/01/2023</w:t>
      </w:r>
      <w:r>
        <w:rPr>
          <w:rFonts w:eastAsia="Calibri" w:cs="Calibri"/>
          <w:color w:val="000000" w:themeColor="text1"/>
          <w:sz w:val="22"/>
          <w:szCs w:val="22"/>
        </w:rPr>
        <w:t xml:space="preserve"> – P. 1</w:t>
      </w:r>
      <w:r>
        <w:rPr>
          <w:rFonts w:eastAsia="Calibri" w:cs="Calibri"/>
          <w:color w:val="000000" w:themeColor="text1"/>
          <w:sz w:val="22"/>
          <w:szCs w:val="22"/>
        </w:rPr>
        <w:t>3 - 18</w:t>
      </w:r>
      <w:bookmarkStart w:id="1" w:name="_GoBack1"/>
      <w:bookmarkEnd w:id="1"/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mc:AlternateContent>
        <mc:Choice Requires="wps">
          <w:drawing>
            <wp:anchor behindDoc="1" distT="0" distB="0" distL="89535" distR="89535" simplePos="0" locked="0" layoutInCell="0" allowOverlap="1" relativeHeight="6">
              <wp:simplePos x="0" y="0"/>
              <wp:positionH relativeFrom="page">
                <wp:posOffset>716915</wp:posOffset>
              </wp:positionH>
              <wp:positionV relativeFrom="paragraph">
                <wp:posOffset>-37465</wp:posOffset>
              </wp:positionV>
              <wp:extent cx="720090" cy="732790"/>
              <wp:effectExtent l="0" t="0" r="0" b="0"/>
              <wp:wrapTopAndBottom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280" cy="73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16280" cy="7334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733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6.45pt;margin-top:-2.95pt;width:56.6pt;height:57.6pt;mso-wrap-style:none;v-text-anchor:middle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16280" cy="7334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733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rFonts w:ascii="Arial" w:hAnsi="Arial"/>
        <w:b/>
        <w:sz w:val="22"/>
        <w:szCs w:val="22"/>
      </w:rPr>
      <w:t>PREFEITURA DO MUNICÍPIO DE SÃO PAULO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41135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73937"/>
    <w:rPr>
      <w:b/>
      <w:bCs/>
      <w:sz w:val="20"/>
      <w:szCs w:val="20"/>
    </w:rPr>
  </w:style>
  <w:style w:type="character" w:styleId="Ttulo2Char">
    <w:name w:val="Título 2 Char"/>
    <w:qFormat/>
    <w:rPr>
      <w:rFonts w:ascii="Calibri" w:hAnsi="Calibri" w:cs="Arial"/>
      <w:b/>
      <w:bCs/>
      <w:smallCaps/>
    </w:rPr>
  </w:style>
  <w:style w:type="character" w:styleId="Corpodetexto2Char">
    <w:name w:val="Corpo de texto 2 Char"/>
    <w:qFormat/>
    <w:rPr>
      <w:sz w:val="24"/>
      <w:szCs w:val="24"/>
    </w:rPr>
  </w:style>
  <w:style w:type="character" w:styleId="RecuodecorpodetextoChar">
    <w:name w:val="Recuo de corpo de texto Char"/>
    <w:qFormat/>
    <w:rPr>
      <w:rFonts w:ascii="Arial" w:hAnsi="Arial"/>
      <w:sz w:val="24"/>
    </w:rPr>
  </w:style>
  <w:style w:type="character" w:styleId="TtuloChar">
    <w:name w:val="Título Char"/>
    <w:qFormat/>
    <w:rPr>
      <w:rFonts w:ascii="Arial" w:hAnsi="Arial" w:cs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411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73937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Textoalinhadoesquerda">
    <w:name w:val="texto_alinhado_esquerda"/>
    <w:basedOn w:val="Normal"/>
    <w:qFormat/>
    <w:pPr>
      <w:spacing w:beforeAutospacing="1" w:afterAutospacing="1"/>
    </w:pPr>
    <w:rPr/>
  </w:style>
  <w:style w:type="paragraph" w:styleId="Textocentralizadomaiusculasnegrito">
    <w:name w:val="texto_centralizado_maiusculas_negrito"/>
    <w:basedOn w:val="Normal"/>
    <w:qFormat/>
    <w:pPr>
      <w:spacing w:beforeAutospacing="1" w:afterAutospacing="1"/>
    </w:pPr>
    <w:rPr/>
  </w:style>
  <w:style w:type="paragraph" w:styleId="Tabelatextocentralizado">
    <w:name w:val="tabela_texto_centralizado"/>
    <w:basedOn w:val="Normal"/>
    <w:qFormat/>
    <w:pPr>
      <w:spacing w:beforeAutospacing="1" w:afterAutospacing="1"/>
    </w:pPr>
    <w:rPr/>
  </w:style>
  <w:style w:type="paragraph" w:styleId="Textojustificadorecuoprimeiralinha">
    <w:name w:val="texto_justificado_recuo_primeira_linha"/>
    <w:basedOn w:val="Normal"/>
    <w:qFormat/>
    <w:pPr>
      <w:spacing w:beforeAutospacing="1" w:afterAutospacing="1"/>
    </w:pPr>
    <w:rPr/>
  </w:style>
  <w:style w:type="paragraph" w:styleId="Centralizadotimbrearialpequeno">
    <w:name w:val="centralizado_timbre_arial_pequeno"/>
    <w:basedOn w:val="Normal"/>
    <w:qFormat/>
    <w:pPr>
      <w:spacing w:beforeAutospacing="1" w:afterAutospacing="1"/>
    </w:pPr>
    <w:rPr/>
  </w:style>
  <w:style w:type="paragraph" w:styleId="BodyText2">
    <w:name w:val="Body Text 2"/>
    <w:basedOn w:val="Normal"/>
    <w:qFormat/>
    <w:pPr>
      <w:spacing w:lineRule="auto" w:line="480" w:before="0" w:after="120"/>
      <w:ind w:firstLine="425"/>
      <w:jc w:val="both"/>
    </w:pPr>
    <w:rPr/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color w:val="FF0000"/>
      <w:sz w:val="23"/>
      <w:szCs w:val="23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 w:eastAsia="Arial Unicode MS" w:cs="Arial Unicode MS"/>
    </w:rPr>
  </w:style>
  <w:style w:type="paragraph" w:styleId="Corpodetexto31">
    <w:name w:val="Corpo de texto 31"/>
    <w:basedOn w:val="Normal"/>
    <w:qFormat/>
    <w:pPr>
      <w:jc w:val="both"/>
    </w:pPr>
    <w:rPr>
      <w:rFonts w:ascii="Arial" w:hAnsi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707C-1ABE-4FCE-9082-94518C1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LibreOffice/7.2.5.2$Windows_X86_64 LibreOffice_project/499f9727c189e6ef3471021d6132d4c694f357e5</Application>
  <AppVersion>15.0000</AppVersion>
  <Pages>3</Pages>
  <Words>886</Words>
  <Characters>4914</Characters>
  <CharactersWithSpaces>5756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Martin Rodrigues Ferreira Antunes</dc:creator>
  <dc:description/>
  <dc:language>pt-BR</dc:language>
  <cp:lastModifiedBy/>
  <dcterms:modified xsi:type="dcterms:W3CDTF">2023-01-20T10:13:17Z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